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A2DE" w14:textId="77777777" w:rsidR="003A3EE7" w:rsidRPr="009B08FD" w:rsidRDefault="003A3EE7" w:rsidP="003A3EE7">
      <w:pPr>
        <w:pStyle w:val="rvps7"/>
        <w:spacing w:before="150" w:after="150"/>
        <w:ind w:left="450" w:right="450"/>
        <w:rPr>
          <w:rStyle w:val="spanrvts0"/>
          <w:rFonts w:ascii="Cambria" w:hAnsi="Cambria"/>
          <w:lang w:val="uk" w:eastAsia="uk"/>
        </w:rPr>
      </w:pPr>
      <w:r w:rsidRPr="009B08FD">
        <w:rPr>
          <w:rStyle w:val="spanrvts15"/>
          <w:rFonts w:ascii="Cambria" w:hAnsi="Cambria"/>
          <w:lang w:val="uk" w:eastAsia="uk"/>
        </w:rPr>
        <w:t xml:space="preserve">ПОВІДОМЛЕННЯ </w:t>
      </w:r>
      <w:r w:rsidRPr="009B08FD">
        <w:rPr>
          <w:rStyle w:val="spanrvts15"/>
          <w:rFonts w:ascii="Cambria" w:hAnsi="Cambria"/>
          <w:lang w:val="uk" w:eastAsia="uk"/>
        </w:rPr>
        <w:br/>
        <w:t>про проведення (скликання) загальних зборів акціонерного товариства</w:t>
      </w:r>
    </w:p>
    <w:tbl>
      <w:tblPr>
        <w:tblW w:w="4977" w:type="pct"/>
        <w:tblInd w:w="113" w:type="dxa"/>
        <w:tblLayout w:type="fixed"/>
        <w:tblCellMar>
          <w:top w:w="567" w:type="dxa"/>
          <w:left w:w="567" w:type="dxa"/>
          <w:bottom w:w="567" w:type="dxa"/>
          <w:right w:w="567" w:type="dxa"/>
        </w:tblCellMar>
        <w:tblLook w:val="05E0" w:firstRow="1" w:lastRow="1" w:firstColumn="1" w:lastColumn="1" w:noHBand="0" w:noVBand="1"/>
      </w:tblPr>
      <w:tblGrid>
        <w:gridCol w:w="21"/>
        <w:gridCol w:w="4399"/>
        <w:gridCol w:w="5159"/>
      </w:tblGrid>
      <w:tr w:rsidR="003A3EE7" w:rsidRPr="009B08FD" w14:paraId="690D97F6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40E5E" w14:textId="77777777" w:rsidR="003A3EE7" w:rsidRPr="009B08FD" w:rsidRDefault="003A3EE7" w:rsidP="00F97BDC">
            <w:pPr>
              <w:pStyle w:val="rvps12"/>
              <w:spacing w:before="150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1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7FF64" w14:textId="77777777" w:rsidR="003A3EE7" w:rsidRPr="009B08FD" w:rsidRDefault="003A3EE7" w:rsidP="00F97BDC">
            <w:pPr>
              <w:pStyle w:val="rvps12"/>
              <w:spacing w:before="150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2</w:t>
            </w:r>
          </w:p>
        </w:tc>
      </w:tr>
      <w:tr w:rsidR="003A3EE7" w:rsidRPr="009B08FD" w14:paraId="749CC88E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BA34A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Повне найменування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2F71" w14:textId="77777777" w:rsidR="003A3EE7" w:rsidRPr="004B74F2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-UA" w:eastAsia="uk"/>
              </w:rPr>
            </w:pPr>
            <w:r w:rsidRPr="004B74F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ПРИВАТНЕ АКЦІОНЕРНЕ ТОВАРИСТВО «</w:t>
            </w:r>
            <w:r w:rsidRPr="004B74F2">
              <w:rPr>
                <w:rFonts w:ascii="Cambria" w:hAnsi="Cambria"/>
                <w:b/>
                <w:bCs/>
                <w:sz w:val="20"/>
                <w:szCs w:val="20"/>
              </w:rPr>
              <w:t>ЗАВОД АГРОТЕХНІЧНИХ МАШИН</w:t>
            </w:r>
            <w:r w:rsidRPr="004B74F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A3EE7" w:rsidRPr="009B08FD" w14:paraId="430AD2BD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6ECDE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 xml:space="preserve">Ідентифікаційний код юридичної особи 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CF1A" w14:textId="77777777" w:rsidR="003A3EE7" w:rsidRPr="000C088A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0C088A">
              <w:rPr>
                <w:rFonts w:ascii="Cambria" w:hAnsi="Cambria"/>
                <w:sz w:val="20"/>
                <w:szCs w:val="20"/>
              </w:rPr>
              <w:t>00235826</w:t>
            </w:r>
          </w:p>
        </w:tc>
      </w:tr>
      <w:tr w:rsidR="003A3EE7" w:rsidRPr="009B08FD" w14:paraId="645819A9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382A4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 xml:space="preserve">Місцезнаходження 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8938" w14:textId="77777777" w:rsidR="003A3EE7" w:rsidRPr="000C088A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0C088A">
              <w:rPr>
                <w:rFonts w:ascii="Cambria" w:hAnsi="Cambria"/>
                <w:sz w:val="20"/>
                <w:szCs w:val="20"/>
              </w:rPr>
              <w:t xml:space="preserve">69118, </w:t>
            </w:r>
            <w:proofErr w:type="spellStart"/>
            <w:r w:rsidRPr="000C088A">
              <w:rPr>
                <w:rFonts w:ascii="Cambria" w:hAnsi="Cambria"/>
                <w:sz w:val="20"/>
                <w:szCs w:val="20"/>
              </w:rPr>
              <w:t>Запорізька</w:t>
            </w:r>
            <w:proofErr w:type="spellEnd"/>
            <w:r w:rsidRPr="000C088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C088A">
              <w:rPr>
                <w:rFonts w:ascii="Cambria" w:hAnsi="Cambria"/>
                <w:sz w:val="20"/>
                <w:szCs w:val="20"/>
              </w:rPr>
              <w:t>обл</w:t>
            </w:r>
            <w:proofErr w:type="spellEnd"/>
            <w:r w:rsidRPr="000C088A">
              <w:rPr>
                <w:rFonts w:ascii="Cambria" w:hAnsi="Cambria"/>
                <w:sz w:val="20"/>
                <w:szCs w:val="20"/>
              </w:rPr>
              <w:t xml:space="preserve">., </w:t>
            </w:r>
            <w:proofErr w:type="spellStart"/>
            <w:r w:rsidRPr="000C088A">
              <w:rPr>
                <w:rFonts w:ascii="Cambria" w:hAnsi="Cambria"/>
                <w:sz w:val="20"/>
                <w:szCs w:val="20"/>
              </w:rPr>
              <w:t>місто</w:t>
            </w:r>
            <w:proofErr w:type="spellEnd"/>
            <w:r w:rsidRPr="000C088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C088A">
              <w:rPr>
                <w:rFonts w:ascii="Cambria" w:hAnsi="Cambria"/>
                <w:sz w:val="20"/>
                <w:szCs w:val="20"/>
              </w:rPr>
              <w:t>Запоріжжя</w:t>
            </w:r>
            <w:proofErr w:type="spellEnd"/>
            <w:r w:rsidRPr="000C088A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0C088A">
              <w:rPr>
                <w:rFonts w:ascii="Cambria" w:hAnsi="Cambria"/>
                <w:sz w:val="20"/>
                <w:szCs w:val="20"/>
              </w:rPr>
              <w:t>вулиця</w:t>
            </w:r>
            <w:proofErr w:type="spellEnd"/>
            <w:r w:rsidRPr="000C088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C088A">
              <w:rPr>
                <w:rFonts w:ascii="Cambria" w:hAnsi="Cambria"/>
                <w:sz w:val="20"/>
                <w:szCs w:val="20"/>
              </w:rPr>
              <w:t>Чубанова</w:t>
            </w:r>
            <w:proofErr w:type="spellEnd"/>
            <w:r w:rsidRPr="000C088A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0C088A">
              <w:rPr>
                <w:rFonts w:ascii="Cambria" w:hAnsi="Cambria"/>
                <w:sz w:val="20"/>
                <w:szCs w:val="20"/>
              </w:rPr>
              <w:t>будинок</w:t>
            </w:r>
            <w:proofErr w:type="spellEnd"/>
            <w:r w:rsidRPr="000C088A">
              <w:rPr>
                <w:rFonts w:ascii="Cambria" w:hAnsi="Cambria"/>
                <w:sz w:val="20"/>
                <w:szCs w:val="20"/>
              </w:rPr>
              <w:t xml:space="preserve"> 1</w:t>
            </w:r>
          </w:p>
        </w:tc>
      </w:tr>
      <w:tr w:rsidR="003A3EE7" w:rsidRPr="009B08FD" w14:paraId="3F8D0059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D4CF3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Дата і час початку проведення загальних зборів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D6FA" w14:textId="77777777" w:rsidR="003A3EE7" w:rsidRPr="000C088A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0C088A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17.04.2024</w:t>
            </w:r>
          </w:p>
        </w:tc>
      </w:tr>
      <w:tr w:rsidR="003A3EE7" w:rsidRPr="009B08FD" w14:paraId="52BDB62C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333C5" w14:textId="77777777" w:rsidR="003A3EE7" w:rsidRPr="009B08FD" w:rsidRDefault="003A3EE7" w:rsidP="00F97BDC">
            <w:pPr>
              <w:pStyle w:val="rvps14"/>
              <w:spacing w:before="150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Спосіб проведення загальних зборів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5D373" w14:textId="77777777" w:rsidR="003A3EE7" w:rsidRPr="009B08FD" w:rsidRDefault="003A3EE7" w:rsidP="00F97BDC">
            <w:pPr>
              <w:pStyle w:val="rvps14"/>
              <w:spacing w:before="150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Fonts w:ascii="Cambria" w:hAnsi="Cambria"/>
                <w:sz w:val="20"/>
                <w:szCs w:val="20"/>
                <w:lang w:val="ru-RU"/>
              </w:rPr>
              <w:t xml:space="preserve">   </w:t>
            </w:r>
            <w:r w:rsidRPr="009B08F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9B08FD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hyperlink r:id="rId4" w:history="1"/>
            <w:r w:rsidRPr="009B08FD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t>очне голосування, місце проведення</w:t>
            </w:r>
            <w:r>
              <w:rPr>
                <w:rStyle w:val="spanrvts37"/>
                <w:rFonts w:eastAsia="SimSun"/>
                <w:lang w:val="uk-UA"/>
              </w:rPr>
              <w:t>1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t xml:space="preserve">: 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br/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t xml:space="preserve"> 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________________________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br/>
            </w:r>
            <w:r w:rsidRPr="009B08FD">
              <w:rPr>
                <w:rFonts w:ascii="Cambria" w:hAnsi="Cambria"/>
                <w:sz w:val="20"/>
                <w:szCs w:val="20"/>
                <w:lang w:val="ru-RU"/>
              </w:rPr>
              <w:t xml:space="preserve">   </w:t>
            </w:r>
            <w:r w:rsidRPr="009B08F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B08FD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hyperlink r:id="rId5" w:history="1"/>
            <w:r w:rsidRPr="009B08FD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t xml:space="preserve">електронне голосування </w:t>
            </w: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br/>
            </w:r>
            <w:r w:rsidRPr="009B08FD">
              <w:rPr>
                <w:rFonts w:ascii="Cambria" w:hAnsi="Cambria"/>
                <w:sz w:val="20"/>
                <w:szCs w:val="20"/>
                <w:lang w:val="ru-RU"/>
              </w:rPr>
              <w:t xml:space="preserve">   </w:t>
            </w:r>
            <w:r w:rsidRPr="009B08FD">
              <w:rPr>
                <w:rFonts w:ascii="Cambria" w:hAnsi="Cambria"/>
                <w:b/>
                <w:sz w:val="20"/>
                <w:szCs w:val="20"/>
              </w:rPr>
              <w:t>[X]</w:t>
            </w:r>
            <w:r w:rsidRPr="009B08FD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hyperlink r:id="rId6" w:history="1"/>
            <w:r w:rsidRPr="000C088A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опитування (дистанційно)</w:t>
            </w:r>
          </w:p>
        </w:tc>
      </w:tr>
      <w:tr w:rsidR="003A3EE7" w:rsidRPr="009B08FD" w14:paraId="7CD683F4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29631" w14:textId="77777777" w:rsidR="003A3EE7" w:rsidRPr="009B08FD" w:rsidRDefault="003A3EE7" w:rsidP="00F97BDC">
            <w:pPr>
              <w:pStyle w:val="rvps14"/>
              <w:spacing w:before="150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B855" w14:textId="77777777" w:rsidR="003A3EE7" w:rsidRPr="004B74F2" w:rsidRDefault="003A3EE7" w:rsidP="00F97BDC">
            <w:pPr>
              <w:pStyle w:val="rvps14"/>
              <w:ind w:left="57"/>
              <w:contextualSpacing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4B74F2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05.04.2024</w:t>
            </w:r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4B74F2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 xml:space="preserve"> </w:t>
            </w:r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11:00</w:t>
            </w:r>
          </w:p>
          <w:p w14:paraId="71D4693F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4B74F2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17.04.2024</w:t>
            </w:r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4B74F2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 xml:space="preserve"> </w:t>
            </w:r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18:00</w:t>
            </w:r>
          </w:p>
        </w:tc>
      </w:tr>
      <w:tr w:rsidR="003A3EE7" w:rsidRPr="009B08FD" w14:paraId="04BA9ABF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12166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2656" w14:textId="77777777" w:rsidR="003A3EE7" w:rsidRPr="004B74F2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4B74F2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14.04.2024</w:t>
            </w:r>
          </w:p>
        </w:tc>
      </w:tr>
      <w:tr w:rsidR="003A3EE7" w:rsidRPr="009B08FD" w14:paraId="1FC7B7F4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F3B47" w14:textId="77777777" w:rsidR="003A3EE7" w:rsidRPr="009B08FD" w:rsidRDefault="003A3EE7" w:rsidP="00F97BDC">
            <w:pPr>
              <w:pStyle w:val="rvps14"/>
              <w:spacing w:before="150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Проект порядку денного / порядок денний</w:t>
            </w: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vertAlign w:val="superscript"/>
                <w:lang w:val="uk" w:eastAsia="uk"/>
              </w:rPr>
              <w:t>2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B482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2A3A04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1.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Розгляд звіту Генерального д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иректора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за 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2023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</w:p>
          <w:p w14:paraId="7A16D563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2. Розгляд звіту Наглядової ради Товариства за 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2023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</w:p>
          <w:p w14:paraId="59052209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3. Розгляд висновків аудиторського звіту суб’єкта аудиторської діяльності та затвердження заходів за результатами розгляду такого звіту.</w:t>
            </w:r>
          </w:p>
          <w:p w14:paraId="34F7A2D7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4. Затвердження результатів фінансово-господарської діяльності за 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2023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рік.  Затвердження порядку розподілу прибутку Товариства.</w:t>
            </w:r>
          </w:p>
          <w:p w14:paraId="1B2ED757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Попереднє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згоди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вчинення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значних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які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можуть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вчинятися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протягом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більш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як одного року з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дати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6F07F826" w14:textId="77777777" w:rsidR="003A3EE7" w:rsidRPr="002A3A04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</w:tc>
      </w:tr>
      <w:tr w:rsidR="003A3EE7" w:rsidRPr="009B08FD" w14:paraId="4338358F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8BFB7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B289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/>
                <w:color w:val="000000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1.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Проект рішення з питання «Розгляд звіту Генерального д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иректора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за 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2023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 та прийняття рішення за наслідками розгляду такого звіту.»: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Затвердити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Генерального д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иректора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за  2023</w:t>
            </w:r>
            <w:proofErr w:type="gramEnd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</w:t>
            </w:r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. Роботу Генерального директора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визнати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.</w:t>
            </w:r>
          </w:p>
          <w:p w14:paraId="6441108D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14:paraId="2F24E8CF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2. Проект рішення з питання «Розгляд звіту Наглядової ради Товариства за 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2023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 та прийняття рішення за наслідками розгляду такого звіту.»: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Затвердити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за  2023</w:t>
            </w:r>
            <w:proofErr w:type="gramEnd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</w:t>
            </w:r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. Роботу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визнати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.</w:t>
            </w:r>
          </w:p>
          <w:p w14:paraId="36042325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14:paraId="57C50307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3. Проект рішення з питання «Розгляд висновків аудиторського звіту суб’єкта аудиторської діяльності та затвердження заходів за результатами розгляду такого звіту.»: </w:t>
            </w:r>
            <w:r w:rsidRPr="002A3A04">
              <w:rPr>
                <w:rFonts w:ascii="Cambria" w:hAnsi="Cambria"/>
                <w:color w:val="000000"/>
                <w:sz w:val="20"/>
                <w:szCs w:val="20"/>
              </w:rPr>
              <w:t xml:space="preserve">Не розглядати висновки аудиторського звіту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суб’єкта аудиторської діяльності та не затверджувати заходи за результатами розгляду такого звіту (за результатами   2023 року), у зв’язку з їх відсутністю.</w:t>
            </w:r>
          </w:p>
          <w:p w14:paraId="3C121369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</w:p>
          <w:p w14:paraId="1C7F8441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4. Проект рішення з питання «Затвердження результатів фінансово-господарської діяльності за 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lastRenderedPageBreak/>
              <w:t>2023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рік.  Затвердження порядку розподілу прибутку Товариства.»: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результати фінансово-господарської діяльності за 2023 рік.  Затвердити наступний порядок розподілу прибутку Товариства: прибуток, отриманий Товариством у 2023 році не розподіляти, використовувати на забезпечення поточної діяльності Товариства.</w:t>
            </w:r>
          </w:p>
          <w:p w14:paraId="630174AC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14:paraId="49E5DA21" w14:textId="77777777" w:rsidR="003A3EE7" w:rsidRPr="002A3A04" w:rsidRDefault="003A3EE7" w:rsidP="00F97BDC">
            <w:pPr>
              <w:pStyle w:val="a3"/>
              <w:widowControl/>
              <w:spacing w:after="0"/>
              <w:ind w:left="57"/>
              <w:jc w:val="both"/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5. Проект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з 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питання</w:t>
            </w:r>
            <w:proofErr w:type="spellEnd"/>
            <w:proofErr w:type="gram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Попереднє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згоди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вчинення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значних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які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можуть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вчинятися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протягом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більш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як одного року з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дати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.»: </w:t>
            </w:r>
            <w:r w:rsidRPr="002A3A04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</w:t>
            </w:r>
          </w:p>
          <w:p w14:paraId="11EDF032" w14:textId="77777777" w:rsidR="003A3EE7" w:rsidRPr="002A3A04" w:rsidRDefault="003A3EE7" w:rsidP="00F97BDC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купівлі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-продажу,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постачання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70245739" w14:textId="77777777" w:rsidR="003A3EE7" w:rsidRPr="002A3A04" w:rsidRDefault="003A3EE7" w:rsidP="00F97BDC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підряду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виконання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робіт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послуг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3D33143A" w14:textId="77777777" w:rsidR="003A3EE7" w:rsidRPr="002A3A04" w:rsidRDefault="003A3EE7" w:rsidP="00F97BDC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оренди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найму,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лізингу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25 млн. грн.;</w:t>
            </w:r>
          </w:p>
          <w:p w14:paraId="6B9BCBE9" w14:textId="77777777" w:rsidR="003A3EE7" w:rsidRPr="002A3A04" w:rsidRDefault="003A3EE7" w:rsidP="00F97BDC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страхування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15 млн. грн.;</w:t>
            </w:r>
          </w:p>
          <w:p w14:paraId="52EA977D" w14:textId="77777777" w:rsidR="003A3EE7" w:rsidRPr="002A3A04" w:rsidRDefault="003A3EE7" w:rsidP="00F97BDC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позики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кредиту,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банківських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послуг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фінансової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допомоги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відступлення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права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вимоги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переводу </w:t>
            </w:r>
            <w:proofErr w:type="gram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боргу  граничною</w:t>
            </w:r>
            <w:proofErr w:type="gram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0CC27B58" w14:textId="77777777" w:rsidR="003A3EE7" w:rsidRPr="002A3A04" w:rsidRDefault="003A3EE7" w:rsidP="00F97BDC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Застава, порука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15 млн. грн.;</w:t>
            </w:r>
          </w:p>
          <w:p w14:paraId="1C0285C9" w14:textId="77777777" w:rsidR="003A3EE7" w:rsidRPr="002A3A04" w:rsidRDefault="003A3EE7" w:rsidP="00F97BDC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Майнова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порука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27D326F2" w14:textId="77777777" w:rsidR="003A3EE7" w:rsidRPr="002A3A04" w:rsidRDefault="003A3EE7" w:rsidP="00F97BDC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Уповноважити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підписання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Генерального директора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підставі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6A89CADB" w14:textId="77777777" w:rsidR="003A3EE7" w:rsidRPr="002A3A04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</w:tc>
      </w:tr>
      <w:tr w:rsidR="003A3EE7" w:rsidRPr="009B08FD" w14:paraId="2B971B47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B8E68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lastRenderedPageBreak/>
              <w:t xml:space="preserve">URL-адреса </w:t>
            </w:r>
            <w:proofErr w:type="spellStart"/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вебсайту</w:t>
            </w:r>
            <w:proofErr w:type="spellEnd"/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 xml:space="preserve">, на якій розміщено інформацію, зазначену в </w:t>
            </w:r>
            <w:hyperlink r:id="rId7" w:anchor="n506" w:tgtFrame="_blank" w:history="1">
              <w:r w:rsidRPr="005B7D0C">
                <w:rPr>
                  <w:rStyle w:val="arvts96"/>
                  <w:rFonts w:ascii="Cambria" w:hAnsi="Cambria"/>
                  <w:b/>
                  <w:bCs/>
                  <w:color w:val="000000"/>
                  <w:sz w:val="20"/>
                  <w:szCs w:val="20"/>
                  <w:lang w:val="uk" w:eastAsia="uk"/>
                </w:rPr>
                <w:t>частині третій</w:t>
              </w:r>
            </w:hyperlink>
            <w:r w:rsidRPr="005B7D0C">
              <w:rPr>
                <w:rStyle w:val="spanrvts0"/>
                <w:rFonts w:ascii="Cambria" w:hAnsi="Cambria"/>
                <w:bCs/>
                <w:color w:val="000000"/>
                <w:sz w:val="20"/>
                <w:szCs w:val="20"/>
                <w:lang w:val="uk" w:eastAsia="uk"/>
              </w:rPr>
              <w:t xml:space="preserve"> </w:t>
            </w: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статті 47 Закону про акціонерні товариства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155B" w14:textId="486B2E02" w:rsidR="003A3EE7" w:rsidRPr="003A3EE7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URL-</w:t>
            </w:r>
            <w:proofErr w:type="spellStart"/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адреса</w:t>
            </w:r>
            <w:proofErr w:type="spellEnd"/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вебсайту</w:t>
            </w:r>
            <w:proofErr w:type="spellEnd"/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8" w:history="1">
              <w:r w:rsidRPr="007D5981">
                <w:rPr>
                  <w:rStyle w:val="a5"/>
                  <w:rFonts w:ascii="Cambria" w:hAnsi="Cambria"/>
                  <w:bCs/>
                  <w:sz w:val="20"/>
                  <w:szCs w:val="20"/>
                  <w:lang w:val="uk-UA" w:eastAsia="uk"/>
                </w:rPr>
                <w:t>http://agromash.pat.ua/</w:t>
              </w:r>
            </w:hyperlink>
            <w:r w:rsidRPr="004B74F2">
              <w:rPr>
                <w:rStyle w:val="spanrvts0"/>
                <w:rFonts w:ascii="Cambria" w:hAnsi="Cambria"/>
                <w:bCs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сторінці</w:t>
            </w:r>
            <w:proofErr w:type="spellEnd"/>
            <w:r w:rsidRPr="004B74F2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9" w:history="1">
              <w:r w:rsidRPr="00047A4A">
                <w:rPr>
                  <w:rStyle w:val="a5"/>
                  <w:rFonts w:ascii="Cambria" w:hAnsi="Cambria"/>
                  <w:bCs/>
                  <w:sz w:val="20"/>
                  <w:szCs w:val="20"/>
                  <w:lang w:val="uk-UA" w:eastAsia="uk"/>
                </w:rPr>
                <w:t>http://agromash.pat.ua/documents/informaciya-dlya-akcioneriv-ta-steikholderiv1326973759</w:t>
              </w:r>
            </w:hyperlink>
            <w:r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3A3EE7" w:rsidRPr="009B08FD" w14:paraId="32878E4D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E36C0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Порядок ознайомлення акціонерів з матеріалами, з якими вони можуть ознайомитися під час підготовки до загальних зборів</w:t>
            </w:r>
            <w:r>
              <w:rPr>
                <w:rStyle w:val="spanrvts37"/>
                <w:rFonts w:eastAsia="SimSun"/>
                <w:lang w:val="uk-UA"/>
              </w:rPr>
              <w:t>3</w:t>
            </w: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, та посадова особа</w:t>
            </w:r>
            <w:r>
              <w:rPr>
                <w:rStyle w:val="spanrvts37"/>
                <w:rFonts w:eastAsia="SimSun"/>
                <w:lang w:val="uk-UA"/>
              </w:rPr>
              <w:t>4</w:t>
            </w: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 xml:space="preserve">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5A49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Кожен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отримати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зобов'язане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формі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безкоштовно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можуть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ознайомитися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час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підготовки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надсилання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повідомлення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можливість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ознайомитись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необхідними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рішень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включених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проекту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необхідними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рішень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вимогам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 </w:t>
            </w:r>
            <w:hyperlink r:id="rId10" w:history="1">
              <w:r w:rsidRPr="007D5981">
                <w:rPr>
                  <w:rStyle w:val="a5"/>
                  <w:rFonts w:ascii="Cambria" w:hAnsi="Cambria"/>
                  <w:sz w:val="20"/>
                  <w:szCs w:val="20"/>
                  <w:shd w:val="clear" w:color="auto" w:fill="FFFFFF"/>
                </w:rPr>
                <w:t>agromash@uniton.zp.ua</w:t>
              </w:r>
            </w:hyperlink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отримання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оформленого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відповідальна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направляє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із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lastRenderedPageBreak/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вимогам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НКЦПФР.</w:t>
            </w:r>
          </w:p>
          <w:p w14:paraId="389F89FF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письмові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включених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проекту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отримані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пізніше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ніж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один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робочий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направляються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11" w:history="1">
              <w:r w:rsidRPr="007D5981">
                <w:rPr>
                  <w:rStyle w:val="a5"/>
                  <w:rFonts w:ascii="Cambria" w:hAnsi="Cambria"/>
                  <w:sz w:val="20"/>
                  <w:szCs w:val="20"/>
                  <w:shd w:val="clear" w:color="auto" w:fill="FFFFFF"/>
                </w:rPr>
                <w:t>agromash@uniton.zp.ua</w:t>
              </w:r>
            </w:hyperlink>
            <w:r w:rsidRPr="007D5981">
              <w:rPr>
                <w:rStyle w:val="a5"/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вимогам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НКЦПФР).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всі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однакового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змісту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направляються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надійшов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оформлений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із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вимогам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НКЦПФР.</w:t>
            </w:r>
          </w:p>
          <w:p w14:paraId="5B7DCF8E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04906536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Посадова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відповідальна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–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BF4B65">
              <w:rPr>
                <w:rFonts w:ascii="Cambria" w:hAnsi="Cambria" w:cs="Cambria"/>
                <w:color w:val="000000"/>
                <w:sz w:val="20"/>
                <w:szCs w:val="20"/>
              </w:rPr>
              <w:t>Генеральний</w:t>
            </w:r>
            <w:proofErr w:type="spellEnd"/>
            <w:r w:rsidRPr="00BF4B6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B65">
              <w:rPr>
                <w:rFonts w:ascii="Cambria" w:hAnsi="Cambria" w:cs="Cambria"/>
                <w:color w:val="000000"/>
                <w:sz w:val="20"/>
                <w:szCs w:val="20"/>
              </w:rPr>
              <w:t>директор</w:t>
            </w:r>
            <w:proofErr w:type="spellEnd"/>
            <w:r w:rsidRPr="00BF4B6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BF4B65">
              <w:rPr>
                <w:rFonts w:ascii="Cambria" w:hAnsi="Cambria"/>
                <w:sz w:val="20"/>
                <w:szCs w:val="20"/>
                <w:lang w:val="ru-RU"/>
              </w:rPr>
              <w:t xml:space="preserve">Волошин </w:t>
            </w:r>
            <w:proofErr w:type="spellStart"/>
            <w:r w:rsidRPr="00BF4B65">
              <w:rPr>
                <w:rFonts w:ascii="Cambria" w:hAnsi="Cambria"/>
                <w:sz w:val="20"/>
                <w:szCs w:val="20"/>
                <w:lang w:val="ru-RU"/>
              </w:rPr>
              <w:t>Андрій</w:t>
            </w:r>
            <w:proofErr w:type="spellEnd"/>
            <w:r w:rsidRPr="00BF4B65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4B65">
              <w:rPr>
                <w:rFonts w:ascii="Cambria" w:hAnsi="Cambria"/>
                <w:sz w:val="20"/>
                <w:szCs w:val="20"/>
                <w:lang w:val="ru-RU"/>
              </w:rPr>
              <w:t>Віталійович</w:t>
            </w:r>
            <w:proofErr w:type="spellEnd"/>
            <w:r w:rsidRPr="00BF4B65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BF4B65">
              <w:rPr>
                <w:rFonts w:ascii="Cambria" w:hAnsi="Cambria"/>
                <w:sz w:val="20"/>
                <w:szCs w:val="20"/>
              </w:rPr>
              <w:t>Контактний</w:t>
            </w:r>
            <w:proofErr w:type="spellEnd"/>
            <w:r w:rsidRPr="00BF4B6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F4B65">
              <w:rPr>
                <w:rFonts w:ascii="Cambria" w:hAnsi="Cambria"/>
                <w:sz w:val="20"/>
                <w:szCs w:val="20"/>
              </w:rPr>
              <w:t>номер</w:t>
            </w:r>
            <w:proofErr w:type="spellEnd"/>
            <w:r w:rsidRPr="00BF4B6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F4B65">
              <w:rPr>
                <w:rFonts w:ascii="Cambria" w:hAnsi="Cambria"/>
                <w:sz w:val="20"/>
                <w:szCs w:val="20"/>
              </w:rPr>
              <w:t>телефону</w:t>
            </w:r>
            <w:proofErr w:type="spellEnd"/>
            <w:r w:rsidRPr="00BF4B65">
              <w:rPr>
                <w:rFonts w:ascii="Cambria" w:hAnsi="Cambria"/>
                <w:sz w:val="20"/>
                <w:szCs w:val="20"/>
              </w:rPr>
              <w:t>: (061) 228-58-26.</w:t>
            </w:r>
          </w:p>
        </w:tc>
      </w:tr>
      <w:tr w:rsidR="003A3EE7" w:rsidRPr="009B08FD" w14:paraId="20FBDCB7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AF6F8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lastRenderedPageBreak/>
              <w:t xml:space="preserve">Інформація про права, надані акціонерам відповідно до вимог </w:t>
            </w:r>
            <w:hyperlink r:id="rId12" w:anchor="n274" w:tgtFrame="_blank" w:history="1">
              <w:r w:rsidRPr="005B7D0C">
                <w:rPr>
                  <w:rStyle w:val="arvts96"/>
                  <w:rFonts w:ascii="Cambria" w:hAnsi="Cambria"/>
                  <w:color w:val="000000"/>
                  <w:sz w:val="20"/>
                  <w:szCs w:val="20"/>
                  <w:lang w:val="uk" w:eastAsia="uk"/>
                </w:rPr>
                <w:t>статей 27</w:t>
              </w:r>
            </w:hyperlink>
            <w:r w:rsidRPr="005B7D0C">
              <w:rPr>
                <w:rStyle w:val="spanrvts0"/>
                <w:rFonts w:ascii="Cambria" w:hAnsi="Cambria"/>
                <w:bCs/>
                <w:color w:val="000000"/>
                <w:sz w:val="20"/>
                <w:szCs w:val="20"/>
                <w:lang w:val="uk" w:eastAsia="uk"/>
              </w:rPr>
              <w:t xml:space="preserve"> і </w:t>
            </w:r>
            <w:hyperlink r:id="rId13" w:anchor="n283" w:tgtFrame="_blank" w:history="1">
              <w:r w:rsidRPr="005B7D0C">
                <w:rPr>
                  <w:rStyle w:val="arvts96"/>
                  <w:rFonts w:ascii="Cambria" w:hAnsi="Cambria"/>
                  <w:color w:val="000000"/>
                  <w:sz w:val="20"/>
                  <w:szCs w:val="20"/>
                  <w:lang w:val="uk" w:eastAsia="uk"/>
                </w:rPr>
                <w:t>28</w:t>
              </w:r>
            </w:hyperlink>
            <w:r w:rsidRPr="005B7D0C">
              <w:rPr>
                <w:rStyle w:val="spanrvts0"/>
                <w:rFonts w:ascii="Cambria" w:hAnsi="Cambria"/>
                <w:bCs/>
                <w:color w:val="000000"/>
                <w:sz w:val="20"/>
                <w:szCs w:val="20"/>
                <w:lang w:val="uk" w:eastAsia="uk"/>
              </w:rPr>
              <w:t xml:space="preserve"> </w:t>
            </w: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 xml:space="preserve">Закону про акціонерні товариства, якими вони можуть користуватися після отримання повідомлення про проведення загальних зборів, </w:t>
            </w:r>
            <w:r w:rsidRPr="005B7D0C">
              <w:rPr>
                <w:rStyle w:val="spanrvts0"/>
                <w:rFonts w:ascii="Cambria" w:hAnsi="Cambria"/>
                <w:bCs/>
                <w:color w:val="000000"/>
                <w:sz w:val="20"/>
                <w:szCs w:val="20"/>
                <w:lang w:val="uk" w:eastAsia="uk"/>
              </w:rPr>
              <w:t xml:space="preserve">а також строк, протягом якого такі </w:t>
            </w: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права можуть використовуватися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3726" w14:textId="77777777" w:rsidR="003A3EE7" w:rsidRPr="005B7D0C" w:rsidRDefault="003A3EE7" w:rsidP="00F97BDC">
            <w:pPr>
              <w:ind w:left="57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7D0C">
              <w:rPr>
                <w:rFonts w:ascii="Cambria" w:hAnsi="Cambria"/>
                <w:color w:val="000000"/>
                <w:sz w:val="20"/>
                <w:szCs w:val="20"/>
              </w:rPr>
              <w:t>Кожною простою акцією Товариства її власнику – акціонеру надається однакова сукупність прав, включаючи права на участь в управлінні товариством та отримання інформації про господарську діяльність товариства.</w:t>
            </w:r>
          </w:p>
          <w:p w14:paraId="34FD8958" w14:textId="77777777" w:rsidR="003A3EE7" w:rsidRPr="005B7D0C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</w:pPr>
          </w:p>
          <w:p w14:paraId="7D8AB4F4" w14:textId="77777777" w:rsidR="003A3EE7" w:rsidRPr="005B7D0C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</w:pP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Кожен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акціонер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-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власник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акцій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має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право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реалізувати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своє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право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управління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Товариством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шляхом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участі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Загальних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зборах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та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.</w:t>
            </w:r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val="uk-UA"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Датою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початку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питань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порядку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денного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є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дата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розміщення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відповідного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бюлетеню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для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вільному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для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доступі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Загальних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зборах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подання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установи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бюлетенів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для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розпочинається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моменту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розміщення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веб-сайті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відповідного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бюлетеню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для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-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не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пізніше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11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години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r w:rsidRPr="009604A4">
              <w:rPr>
                <w:rStyle w:val="spanrvts0"/>
                <w:rFonts w:ascii="Cambria" w:hAnsi="Cambria"/>
                <w:bCs/>
                <w:sz w:val="20"/>
                <w:szCs w:val="20"/>
                <w:lang w:eastAsia="uk"/>
              </w:rPr>
              <w:t>05.04.2024</w:t>
            </w:r>
            <w:r>
              <w:rPr>
                <w:rStyle w:val="spanrvts0"/>
                <w:rFonts w:ascii="Cambria" w:hAnsi="Cambria"/>
                <w:bCs/>
                <w:sz w:val="20"/>
                <w:szCs w:val="20"/>
                <w:lang w:eastAsia="uk"/>
              </w:rPr>
              <w:t xml:space="preserve"> </w:t>
            </w:r>
            <w:r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року</w:t>
            </w:r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).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Датою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закінчення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є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дата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Загальних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зборів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.</w:t>
            </w:r>
          </w:p>
          <w:p w14:paraId="4D4CF97D" w14:textId="77777777" w:rsidR="003A3EE7" w:rsidRPr="005B7D0C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</w:pP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Бюлетені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приймаються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виключно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18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години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r w:rsidRPr="009604A4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17.04.2024 року</w:t>
            </w:r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дата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завершення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).</w:t>
            </w:r>
          </w:p>
          <w:p w14:paraId="1D0C0C33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випадку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завершення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оригінал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оригінали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підтверджують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повноваження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14" w:history="1">
              <w:r w:rsidRPr="007D5981">
                <w:rPr>
                  <w:rStyle w:val="a5"/>
                  <w:rFonts w:ascii="Cambria" w:hAnsi="Cambria"/>
                  <w:sz w:val="20"/>
                  <w:szCs w:val="20"/>
                  <w:shd w:val="clear" w:color="auto" w:fill="FFFFFF"/>
                </w:rPr>
                <w:t>agromash@uniton.zp.ua</w:t>
              </w:r>
            </w:hyperlink>
            <w:r w:rsidRPr="007D5981">
              <w:rPr>
                <w:rStyle w:val="a5"/>
                <w:rFonts w:ascii="Cambria" w:hAnsi="Cambria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місцезнаходженням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одночасно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направляє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lastRenderedPageBreak/>
              <w:t>відмови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Національної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комісії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фондового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ринку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723CC78E" w14:textId="77777777" w:rsidR="003A3EE7" w:rsidRPr="005B7D0C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</w:pPr>
          </w:p>
          <w:p w14:paraId="20C09A49" w14:textId="77777777" w:rsidR="003A3EE7" w:rsidRPr="005B7D0C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</w:pP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Від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дати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надсилання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повідомлення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Загальних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зборів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дати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Загальних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proofErr w:type="gram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зборів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val="uk-UA" w:eastAsia="uk"/>
              </w:rPr>
              <w:t xml:space="preserve"> </w:t>
            </w:r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Товариство</w:t>
            </w:r>
            <w:proofErr w:type="spellEnd"/>
            <w:proofErr w:type="gram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надає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акціонерам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можливість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ознайомитись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необхідними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для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прийняття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рішень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питань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включених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проекту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порядку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денного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та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порядку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денного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шляхом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направлення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акціонеру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його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запит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.</w:t>
            </w:r>
          </w:p>
          <w:p w14:paraId="17EB9433" w14:textId="77777777" w:rsidR="003A3EE7" w:rsidRPr="005B7D0C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</w:pPr>
          </w:p>
          <w:p w14:paraId="43A12C6A" w14:textId="77777777" w:rsidR="003A3EE7" w:rsidRPr="005B7D0C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</w:pP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Кожний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акціонер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має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право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внести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пропозиції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щодо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питань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включених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проекту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порядку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денного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Загальних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зборів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також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щодо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нових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кандидатів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складу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органів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кількість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яких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не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може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перевищувати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кількісного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складу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кожного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органів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Пропозиції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вносяться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не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пізніше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ніж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20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днів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дати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Загальних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зборів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щодо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кандидатів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складу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органів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-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не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пізніше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ніж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7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днів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дати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Загальних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зборів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.</w:t>
            </w:r>
          </w:p>
          <w:p w14:paraId="1931A7B7" w14:textId="77777777" w:rsidR="003A3EE7" w:rsidRPr="005B7D0C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</w:pP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Пропозиція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проекту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порядку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денного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Загальних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зборів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може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бути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направлена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акціонером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вигляді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електронного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документу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із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його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підписом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акціонера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та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/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або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іншим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засобом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що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вимогам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НКЦПФР)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на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адресу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пошти</w:t>
            </w:r>
            <w:proofErr w:type="spellEnd"/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 xml:space="preserve"> </w:t>
            </w:r>
            <w:hyperlink r:id="rId15" w:history="1">
              <w:r w:rsidRPr="007D5981">
                <w:rPr>
                  <w:rStyle w:val="a5"/>
                  <w:rFonts w:ascii="Cambria" w:hAnsi="Cambria"/>
                  <w:sz w:val="20"/>
                  <w:szCs w:val="20"/>
                  <w:shd w:val="clear" w:color="auto" w:fill="FFFFFF"/>
                </w:rPr>
                <w:t>agromash@uniton.zp.ua</w:t>
              </w:r>
            </w:hyperlink>
            <w:r w:rsidRPr="005B7D0C">
              <w:rPr>
                <w:rStyle w:val="spanrvts0"/>
                <w:rFonts w:ascii="Cambria" w:hAnsi="Cambria"/>
                <w:color w:val="000000"/>
                <w:sz w:val="20"/>
                <w:szCs w:val="20"/>
                <w:lang w:eastAsia="uk"/>
              </w:rPr>
              <w:t>.</w:t>
            </w:r>
          </w:p>
        </w:tc>
      </w:tr>
      <w:tr w:rsidR="003A3EE7" w:rsidRPr="009B08FD" w14:paraId="033CDA98" w14:textId="77777777" w:rsidTr="00F97BDC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F2C06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lastRenderedPageBreak/>
              <w:t>Порядок надання акціонерами пропозицій до проекту порядку денного позачергових загальних зборів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D052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---</w:t>
            </w:r>
          </w:p>
        </w:tc>
      </w:tr>
      <w:tr w:rsidR="003A3EE7" w:rsidRPr="009B08FD" w14:paraId="3DB03835" w14:textId="77777777" w:rsidTr="00F97BDC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09AB5FC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Порядок участі та голосування на загальних зборах за довіреністю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A446A4D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фізична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юридичної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держави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територіальної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громади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призначити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безстроково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певний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строк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фізичною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посвідчується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нотаріусом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посадовими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вчиняють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нотаріальні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посвідчуватися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встановленому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proofErr w:type="gram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proofErr w:type="gram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імені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юридичної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її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органом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її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установчими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отримувати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нього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перелік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інструкцією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є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невід'ємною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частиною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час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повинен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здійснює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розсуд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декільком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своїм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декількома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депонента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здійснюється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реєстрація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була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пізніше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здійснили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декілька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lastRenderedPageBreak/>
              <w:t>видана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одночасно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допускається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Видача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виключає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замість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будь-який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час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закінчення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строку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відведеного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відкликати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замінити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повідомивши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Т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обслуговує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взяти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особисто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Повідомлення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заміну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відкликання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здійснюватися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допомогою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зв'язку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законодавства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документообіг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0DAEF015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0B3CFC85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випадку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додаються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підтверджують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повноваження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їх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</w:tc>
      </w:tr>
      <w:tr w:rsidR="003A3EE7" w:rsidRPr="009B08FD" w14:paraId="1FCB4EB9" w14:textId="77777777" w:rsidTr="00F97BDC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C692471" w14:textId="77777777" w:rsidR="003A3EE7" w:rsidRPr="00D76C92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  <w:r>
              <w:rPr>
                <w:rStyle w:val="spanrvts37"/>
                <w:rFonts w:eastAsia="SimSun"/>
                <w:lang w:val="uk-UA"/>
              </w:rPr>
              <w:t>5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8A7DF10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t xml:space="preserve"> 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</w:p>
          <w:p w14:paraId="3B2544C0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 </w:t>
            </w:r>
            <w:r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-</w:t>
            </w:r>
            <w:r>
              <w:rPr>
                <w:rStyle w:val="spanrvts0"/>
                <w:lang w:val="uk-UA"/>
              </w:rPr>
              <w:t>--</w:t>
            </w:r>
          </w:p>
        </w:tc>
      </w:tr>
      <w:tr w:rsidR="003A3EE7" w:rsidRPr="009B08FD" w14:paraId="1B7E9EFE" w14:textId="77777777" w:rsidTr="00F97BDC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97C1EF" w14:textId="77777777" w:rsidR="003A3EE7" w:rsidRPr="00D76C92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Дата і час початку та завершення надсилання до депозитарної установи бюлетенів для голосування</w:t>
            </w:r>
            <w:r>
              <w:rPr>
                <w:rStyle w:val="spanrvts37"/>
                <w:rFonts w:eastAsia="SimSun"/>
                <w:lang w:val="uk-UA"/>
              </w:rPr>
              <w:t>6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9F7C68A" w14:textId="77777777" w:rsidR="003A3EE7" w:rsidRPr="009604A4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t xml:space="preserve"> </w:t>
            </w:r>
            <w:r w:rsidRPr="009604A4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 xml:space="preserve">05.04.2024 </w:t>
            </w:r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11:00</w:t>
            </w:r>
          </w:p>
          <w:p w14:paraId="7188785E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9604A4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17.04.2024</w:t>
            </w:r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18: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00</w:t>
            </w:r>
          </w:p>
        </w:tc>
      </w:tr>
      <w:tr w:rsidR="003A3EE7" w:rsidRPr="009B08FD" w14:paraId="7C7B8D92" w14:textId="77777777" w:rsidTr="00F97BDC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A63F07" w14:textId="77777777" w:rsidR="003A3EE7" w:rsidRPr="00D76C92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Дані про мету зменшення розміру статутного капіталу та спосіб, у який буде проведено таку процедуру</w:t>
            </w:r>
            <w:r>
              <w:rPr>
                <w:rStyle w:val="spanrvts37"/>
                <w:rFonts w:eastAsia="SimSun"/>
                <w:lang w:val="uk-UA"/>
              </w:rPr>
              <w:t>7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BCCD7B1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t xml:space="preserve"> 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---</w:t>
            </w:r>
          </w:p>
        </w:tc>
      </w:tr>
      <w:tr w:rsidR="003A3EE7" w:rsidRPr="009B08FD" w14:paraId="2132BBF3" w14:textId="77777777" w:rsidTr="00F97BDC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F30603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Інші відомості, передбачені законодавством</w:t>
            </w:r>
            <w:r w:rsidRPr="00D76C92">
              <w:rPr>
                <w:rStyle w:val="spanrvts0"/>
                <w:rFonts w:ascii="Cambria" w:hAnsi="Cambria"/>
                <w:bCs/>
                <w:sz w:val="20"/>
                <w:szCs w:val="20"/>
                <w:vertAlign w:val="superscript"/>
                <w:lang w:val="uk" w:eastAsia="uk"/>
              </w:rPr>
              <w:t>8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83A7130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дистанційного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3A3EE7">
              <w:rPr>
                <w:rStyle w:val="spanrvts0"/>
                <w:rFonts w:ascii="Cambria" w:hAnsi="Cambria"/>
                <w:b/>
                <w:sz w:val="20"/>
                <w:szCs w:val="20"/>
                <w:lang w:eastAsia="uk"/>
              </w:rPr>
              <w:t>річних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завершення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r w:rsidRPr="009604A4">
              <w:rPr>
                <w:rStyle w:val="spanrvts0"/>
                <w:rFonts w:ascii="Cambria" w:hAnsi="Cambria"/>
                <w:b/>
                <w:sz w:val="20"/>
                <w:szCs w:val="20"/>
                <w:lang w:val="uk-UA" w:eastAsia="uk"/>
              </w:rPr>
              <w:t>17.04.2024 року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05151EF3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165101F5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Між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питаннями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включеними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проект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r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відсутній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взаємозв'язок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3CC4D7E4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669B0F08" w14:textId="6B95CDAB" w:rsidR="003A3EE7" w:rsidRPr="009604A4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3A3EE7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05.04.2024 року</w:t>
            </w:r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-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дата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розміщення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я</w:t>
            </w:r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інших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крім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обрання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органів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)) у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вільному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доступі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власному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веб-сайті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hyperlink r:id="rId16" w:history="1">
              <w:r w:rsidRPr="00047A4A">
                <w:rPr>
                  <w:rStyle w:val="a5"/>
                  <w:rFonts w:ascii="Cambria" w:hAnsi="Cambria"/>
                  <w:bCs/>
                  <w:sz w:val="20"/>
                  <w:szCs w:val="20"/>
                  <w:lang w:val="uk-UA" w:eastAsia="uk"/>
                </w:rPr>
                <w:t>http://agromash.pat.ua/</w:t>
              </w:r>
            </w:hyperlink>
            <w:r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)</w:t>
            </w:r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посиланням</w:t>
            </w:r>
            <w:proofErr w:type="spellEnd"/>
            <w:r w:rsidRPr="009604A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17" w:history="1">
              <w:r w:rsidRPr="00047A4A">
                <w:rPr>
                  <w:rStyle w:val="a5"/>
                  <w:rFonts w:ascii="Cambria" w:hAnsi="Cambria"/>
                  <w:bCs/>
                  <w:sz w:val="20"/>
                  <w:szCs w:val="20"/>
                  <w:lang w:val="uk-UA" w:eastAsia="uk"/>
                </w:rPr>
                <w:t>http://agromash.pat.ua/documents/informaciya-dlya-akcioneriv-ta-steikholderiv1326973759</w:t>
              </w:r>
            </w:hyperlink>
            <w:r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.</w:t>
            </w:r>
          </w:p>
          <w:p w14:paraId="659C9180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4286D569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проводиться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усіх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оголошено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перерву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змінено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черговість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розгляду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49B5E4ED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проводиться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виключно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використанням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621C3262" w14:textId="77777777" w:rsidR="003A3EE7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</w:p>
          <w:p w14:paraId="6EC5D515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2A3A04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 xml:space="preserve">Відповідно до Рішення НКЦПФР від </w:t>
            </w:r>
            <w:r w:rsidRPr="002A3A04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16.02.2023  №154</w:t>
            </w:r>
            <w:r w:rsidRPr="002A3A04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  <w:lang w:val="uk-UA"/>
              </w:rPr>
              <w:t>, у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період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воєнного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стану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можуть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подаватися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lastRenderedPageBreak/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із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базується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сертифікаті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відкритого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ключа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і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паперовій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формі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368C6DA8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період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воєнного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стану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паперовій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формі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вибором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нотаріально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присутності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нотаріуса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посадової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вчиняє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нотаріальні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обслуговує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,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присутності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).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паперовій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формі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складається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кількох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аркушів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сторінки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нумеруються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кожен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аркуш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).</w:t>
            </w:r>
          </w:p>
          <w:p w14:paraId="44579694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період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обслуговує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лише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один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і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самих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6F388FB8" w14:textId="77777777" w:rsidR="003A3EE7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67EE6B85" w14:textId="77777777" w:rsidR="003A3EE7" w:rsidRPr="009B08FD" w:rsidRDefault="003A3EE7" w:rsidP="00F97BDC">
            <w:pPr>
              <w:pStyle w:val="rvps12"/>
              <w:ind w:left="57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рахунки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декількох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кожна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із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лише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тієї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кількості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обслуговується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409FB9E3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4AAB1ADF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відкрито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підставі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договору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емітентом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необхідно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укласти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договір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забезпечення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реалізації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дистанційних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</w:tc>
      </w:tr>
      <w:tr w:rsidR="003A3EE7" w:rsidRPr="009B08FD" w14:paraId="1D4681C5" w14:textId="77777777" w:rsidTr="00F97BDC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611213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lastRenderedPageBreak/>
              <w:t>Номер та дата рішення ради (виконавчого органу, якщо створення ради не передбачено) акціонерного товариства про затвердження повідомлення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0FF309A" w14:textId="77777777" w:rsidR="003A3EE7" w:rsidRPr="002A3A04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2A3A04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t xml:space="preserve"> </w:t>
            </w:r>
            <w:proofErr w:type="spellStart"/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протокол</w:t>
            </w:r>
            <w:proofErr w:type="spellEnd"/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засідання</w:t>
            </w:r>
            <w:proofErr w:type="spellEnd"/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Наглядової</w:t>
            </w:r>
            <w:proofErr w:type="spellEnd"/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ради</w:t>
            </w:r>
            <w:proofErr w:type="spellEnd"/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2A3A04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№</w:t>
            </w:r>
            <w:r w:rsidRPr="002A3A04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3/24</w:t>
            </w:r>
          </w:p>
          <w:p w14:paraId="68F86BA5" w14:textId="77777777" w:rsidR="003A3EE7" w:rsidRPr="002A3A04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2A3A04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12.03.2024</w:t>
            </w:r>
          </w:p>
        </w:tc>
      </w:tr>
      <w:tr w:rsidR="003A3EE7" w:rsidRPr="009B08FD" w14:paraId="00B06210" w14:textId="77777777" w:rsidTr="00F97BDC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ED1A77" w14:textId="77777777" w:rsidR="003A3EE7" w:rsidRPr="009B08FD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Cs/>
                <w:sz w:val="20"/>
                <w:szCs w:val="20"/>
                <w:lang w:val="uk" w:eastAsia="uk"/>
              </w:rPr>
              <w:t>Дата складання повідомлення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71D0E0B" w14:textId="77777777" w:rsidR="003A3EE7" w:rsidRPr="002A3A04" w:rsidRDefault="003A3EE7" w:rsidP="00F97BDC">
            <w:pPr>
              <w:pStyle w:val="rvps14"/>
              <w:ind w:left="57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2A3A04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2A3A04">
              <w:rPr>
                <w:rStyle w:val="spanrvts0"/>
                <w:rFonts w:ascii="Cambria" w:hAnsi="Cambria"/>
                <w:bCs/>
                <w:sz w:val="20"/>
                <w:szCs w:val="20"/>
                <w:lang w:val="uk-UA" w:eastAsia="uk"/>
              </w:rPr>
              <w:t>12.03.2024</w:t>
            </w:r>
          </w:p>
        </w:tc>
      </w:tr>
    </w:tbl>
    <w:p w14:paraId="09AEBDC8" w14:textId="77777777" w:rsidR="003A3EE7" w:rsidRDefault="003A3EE7" w:rsidP="003A3EE7">
      <w:pPr>
        <w:shd w:val="clear" w:color="auto" w:fill="FFFFFF"/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</w:pPr>
    </w:p>
    <w:p w14:paraId="0FB35D74" w14:textId="77777777" w:rsidR="003A3EE7" w:rsidRDefault="003A3EE7" w:rsidP="003A3EE7">
      <w:pPr>
        <w:shd w:val="clear" w:color="auto" w:fill="FFFFFF"/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</w:pPr>
      <w:r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  <w:t>________________________________________________________________</w:t>
      </w:r>
    </w:p>
    <w:p w14:paraId="6F14E82B" w14:textId="77777777" w:rsidR="003A3EE7" w:rsidRPr="00D76C92" w:rsidRDefault="003A3EE7" w:rsidP="003A3EE7">
      <w:pPr>
        <w:shd w:val="clear" w:color="auto" w:fill="FFFFFF"/>
        <w:rPr>
          <w:rFonts w:ascii="Cambria" w:hAnsi="Cambria"/>
          <w:color w:val="333333"/>
          <w:sz w:val="18"/>
          <w:szCs w:val="18"/>
          <w:lang w:eastAsia="uk-UA"/>
        </w:rPr>
      </w:pP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  <w:t>1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t> Повна адреса місця розташування відповідного приміщення із зазначенням номера кімнати, офісу або залу, куди мають прибути акціонери.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  <w:t>2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t> У разі скликання позачергових загальних зборів акціонерів за скороченою процедурою.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  <w:t>3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t> Включаючи визначене місце для ознайомлення (номер кімнати, офісу тощо).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  <w:t>4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t> У разі скликання загальних зборів акціонерами - особа, визначена такими акціонерами.</w:t>
      </w:r>
    </w:p>
    <w:p w14:paraId="101BA496" w14:textId="77777777" w:rsidR="003A3EE7" w:rsidRPr="00D76C92" w:rsidRDefault="003A3EE7" w:rsidP="003A3EE7">
      <w:pPr>
        <w:shd w:val="clear" w:color="auto" w:fill="FFFFFF"/>
        <w:rPr>
          <w:rFonts w:ascii="Cambria" w:hAnsi="Cambria"/>
          <w:color w:val="333333"/>
          <w:sz w:val="18"/>
          <w:szCs w:val="18"/>
          <w:lang w:eastAsia="uk-UA"/>
        </w:rPr>
      </w:pP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  <w:t>5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t> У разі проведення електронних загальних зборів.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  <w:t>6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t> У разі проведення дистанційних загальних зборів.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  <w:t>7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t> У разі включення до порядку денного питання про зменшення розміру статутного капіталу акціонерного товариства.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eastAsia="uk-UA"/>
        </w:rPr>
        <w:t>8</w:t>
      </w:r>
      <w:r w:rsidRPr="00D76C92">
        <w:rPr>
          <w:rFonts w:ascii="Cambria" w:hAnsi="Cambria"/>
          <w:color w:val="333333"/>
          <w:sz w:val="18"/>
          <w:szCs w:val="18"/>
          <w:lang w:eastAsia="uk-UA"/>
        </w:rPr>
        <w:t> У разі, якщо законодавством передбачені інші відомості, які підлягають розкриттю в повідомленні про проведення (скликання) загальних зборів акціонерного товариства.</w:t>
      </w:r>
    </w:p>
    <w:p w14:paraId="0F85BA07" w14:textId="77777777" w:rsidR="003A3EE7" w:rsidRPr="00B35B64" w:rsidRDefault="003A3EE7" w:rsidP="003A3EE7">
      <w:pPr>
        <w:pStyle w:val="a3"/>
        <w:widowControl/>
        <w:spacing w:after="0"/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183E667A" w14:textId="77777777" w:rsidR="003A3EE7" w:rsidRDefault="003A3EE7" w:rsidP="003A3EE7">
      <w:pPr>
        <w:pStyle w:val="a3"/>
        <w:widowControl/>
        <w:spacing w:after="0"/>
        <w:jc w:val="both"/>
        <w:rPr>
          <w:rFonts w:ascii="Cambria" w:hAnsi="Cambria"/>
          <w:b/>
          <w:color w:val="000000"/>
          <w:sz w:val="22"/>
          <w:szCs w:val="22"/>
          <w:lang w:val="ru-RU"/>
        </w:rPr>
      </w:pPr>
    </w:p>
    <w:p w14:paraId="72462019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E7"/>
    <w:rsid w:val="003A3EE7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282F"/>
  <w15:chartTrackingRefBased/>
  <w15:docId w15:val="{FDB364A3-16D7-4DD4-896A-37B53F7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E7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3EE7"/>
    <w:pPr>
      <w:spacing w:after="120"/>
    </w:pPr>
  </w:style>
  <w:style w:type="character" w:customStyle="1" w:styleId="a4">
    <w:name w:val="Основний текст Знак"/>
    <w:basedOn w:val="a0"/>
    <w:link w:val="a3"/>
    <w:qFormat/>
    <w:rsid w:val="003A3EE7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spanrvts0">
    <w:name w:val="span_rvts0"/>
    <w:rsid w:val="003A3EE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3A3EE7"/>
    <w:pPr>
      <w:widowControl/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customStyle="1" w:styleId="spanrvts15">
    <w:name w:val="span_rvts15"/>
    <w:rsid w:val="003A3EE7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3A3EE7"/>
    <w:pPr>
      <w:widowControl/>
      <w:suppressAutoHyphens w:val="0"/>
      <w:jc w:val="center"/>
    </w:pPr>
    <w:rPr>
      <w:rFonts w:eastAsia="Times New Roman" w:cs="Times New Roman"/>
      <w:kern w:val="0"/>
      <w:lang w:val="en-US" w:eastAsia="en-US" w:bidi="ar-SA"/>
    </w:rPr>
  </w:style>
  <w:style w:type="character" w:customStyle="1" w:styleId="arvts96">
    <w:name w:val="a_rvts96"/>
    <w:rsid w:val="003A3EE7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rsid w:val="003A3EE7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rvps12">
    <w:name w:val="rvps12"/>
    <w:basedOn w:val="a"/>
    <w:rsid w:val="003A3EE7"/>
    <w:pPr>
      <w:widowControl/>
      <w:suppressAutoHyphens w:val="0"/>
      <w:jc w:val="center"/>
    </w:pPr>
    <w:rPr>
      <w:rFonts w:eastAsia="Times New Roman" w:cs="Times New Roman"/>
      <w:kern w:val="0"/>
      <w:lang w:val="en-US" w:eastAsia="en-US" w:bidi="ar-SA"/>
    </w:rPr>
  </w:style>
  <w:style w:type="character" w:styleId="a5">
    <w:name w:val="Hyperlink"/>
    <w:uiPriority w:val="99"/>
    <w:unhideWhenUsed/>
    <w:rsid w:val="003A3EE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A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mash.pat.ua/" TargetMode="External"/><Relationship Id="rId13" Type="http://schemas.openxmlformats.org/officeDocument/2006/relationships/hyperlink" Target="https://zakon.rada.gov.ua/laws/show/2465-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465-20" TargetMode="External"/><Relationship Id="rId12" Type="http://schemas.openxmlformats.org/officeDocument/2006/relationships/hyperlink" Target="https://zakon.rada.gov.ua/laws/show/2465-20" TargetMode="External"/><Relationship Id="rId17" Type="http://schemas.openxmlformats.org/officeDocument/2006/relationships/hyperlink" Target="http://agromash.pat.ua/documents/informaciya-dlya-akcioneriv-ta-steikholderiv1326973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gromash.pat.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109/p529494n1280-29.emf" TargetMode="External"/><Relationship Id="rId11" Type="http://schemas.openxmlformats.org/officeDocument/2006/relationships/hyperlink" Target="mailto:agromash@uniton.zp.ua" TargetMode="External"/><Relationship Id="rId5" Type="http://schemas.openxmlformats.org/officeDocument/2006/relationships/hyperlink" Target="https://zakon.rada.gov.ua/laws/file/imgs/109/p529494n1280-28.emf" TargetMode="External"/><Relationship Id="rId15" Type="http://schemas.openxmlformats.org/officeDocument/2006/relationships/hyperlink" Target="mailto:agromash@uniton.zp.ua" TargetMode="External"/><Relationship Id="rId10" Type="http://schemas.openxmlformats.org/officeDocument/2006/relationships/hyperlink" Target="mailto:agromash@uniton.zp.u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akon.rada.gov.ua/laws/file/imgs/109/p529494n1280-27.emf" TargetMode="External"/><Relationship Id="rId9" Type="http://schemas.openxmlformats.org/officeDocument/2006/relationships/hyperlink" Target="http://agromash.pat.ua/documents/informaciya-dlya-akcioneriv-ta-steikholderiv1326973759" TargetMode="External"/><Relationship Id="rId14" Type="http://schemas.openxmlformats.org/officeDocument/2006/relationships/hyperlink" Target="mailto:agromash@uniton.zp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11607</Words>
  <Characters>6617</Characters>
  <Application>Microsoft Office Word</Application>
  <DocSecurity>0</DocSecurity>
  <Lines>55</Lines>
  <Paragraphs>36</Paragraphs>
  <ScaleCrop>false</ScaleCrop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2024-03-12T12:56:00Z</dcterms:created>
  <dcterms:modified xsi:type="dcterms:W3CDTF">2024-03-12T12:58:00Z</dcterms:modified>
</cp:coreProperties>
</file>